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1B1BFF" w:rsidRDefault="001B1BFF" w:rsidP="001B1BFF">
      <w:pPr>
        <w:spacing w:line="480" w:lineRule="auto"/>
        <w:jc w:val="center"/>
        <w:rPr>
          <w:rFonts w:ascii="Times New Roman" w:hAnsi="Times New Roman" w:cs="Times New Roman"/>
          <w:sz w:val="24"/>
          <w:szCs w:val="24"/>
        </w:rPr>
      </w:pPr>
    </w:p>
    <w:p w:rsidR="001B1BFF" w:rsidRDefault="001B1BFF" w:rsidP="001B1BFF">
      <w:pPr>
        <w:spacing w:line="480" w:lineRule="auto"/>
        <w:jc w:val="center"/>
        <w:rPr>
          <w:rFonts w:ascii="Times New Roman" w:hAnsi="Times New Roman" w:cs="Times New Roman"/>
          <w:sz w:val="24"/>
          <w:szCs w:val="24"/>
        </w:rPr>
      </w:pPr>
    </w:p>
    <w:p w:rsidR="001B1BFF" w:rsidRDefault="001B1BFF" w:rsidP="001B1BFF">
      <w:pPr>
        <w:spacing w:line="480" w:lineRule="auto"/>
        <w:jc w:val="center"/>
        <w:rPr>
          <w:rFonts w:ascii="Times New Roman" w:hAnsi="Times New Roman" w:cs="Times New Roman"/>
          <w:sz w:val="24"/>
          <w:szCs w:val="24"/>
        </w:rPr>
      </w:pPr>
    </w:p>
    <w:p w:rsidR="00766F0F" w:rsidRPr="00766F0F" w:rsidRDefault="00766F0F" w:rsidP="001B1BFF">
      <w:pPr>
        <w:spacing w:line="480" w:lineRule="auto"/>
        <w:jc w:val="center"/>
        <w:rPr>
          <w:rFonts w:ascii="Times New Roman" w:hAnsi="Times New Roman" w:cs="Times New Roman"/>
          <w:sz w:val="24"/>
          <w:szCs w:val="24"/>
        </w:rPr>
      </w:pPr>
      <w:r w:rsidRPr="00766F0F">
        <w:rPr>
          <w:rFonts w:ascii="Times New Roman" w:hAnsi="Times New Roman" w:cs="Times New Roman"/>
          <w:sz w:val="24"/>
          <w:szCs w:val="24"/>
        </w:rPr>
        <w:t>Pathophysiology of Comorbid Diseases</w:t>
      </w:r>
    </w:p>
    <w:p w:rsidR="00766F0F" w:rsidRPr="00766F0F" w:rsidRDefault="00766F0F" w:rsidP="001B1BFF">
      <w:pPr>
        <w:spacing w:line="480" w:lineRule="auto"/>
        <w:jc w:val="center"/>
        <w:rPr>
          <w:rFonts w:ascii="Times New Roman" w:hAnsi="Times New Roman" w:cs="Times New Roman"/>
          <w:sz w:val="24"/>
          <w:szCs w:val="24"/>
        </w:rPr>
      </w:pPr>
      <w:r w:rsidRPr="00766F0F">
        <w:rPr>
          <w:rFonts w:ascii="Times New Roman" w:hAnsi="Times New Roman" w:cs="Times New Roman"/>
          <w:sz w:val="24"/>
          <w:szCs w:val="24"/>
        </w:rPr>
        <w:t>Name</w:t>
      </w:r>
    </w:p>
    <w:p w:rsidR="00766F0F" w:rsidRPr="00766F0F" w:rsidRDefault="00766F0F" w:rsidP="001B1BFF">
      <w:pPr>
        <w:spacing w:line="480" w:lineRule="auto"/>
        <w:jc w:val="center"/>
        <w:rPr>
          <w:rFonts w:ascii="Times New Roman" w:hAnsi="Times New Roman" w:cs="Times New Roman"/>
          <w:sz w:val="24"/>
          <w:szCs w:val="24"/>
        </w:rPr>
      </w:pPr>
      <w:r w:rsidRPr="00766F0F">
        <w:rPr>
          <w:rFonts w:ascii="Times New Roman" w:hAnsi="Times New Roman" w:cs="Times New Roman"/>
          <w:sz w:val="24"/>
          <w:szCs w:val="24"/>
        </w:rPr>
        <w:t>Institution</w:t>
      </w:r>
    </w:p>
    <w:p w:rsidR="00766F0F" w:rsidRPr="00766F0F" w:rsidRDefault="00766F0F" w:rsidP="001B1BFF">
      <w:pPr>
        <w:spacing w:line="480" w:lineRule="auto"/>
        <w:jc w:val="center"/>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1B1BFF" w:rsidRDefault="001B1BFF" w:rsidP="00766F0F">
      <w:pPr>
        <w:spacing w:line="480" w:lineRule="auto"/>
        <w:rPr>
          <w:rFonts w:ascii="Times New Roman" w:hAnsi="Times New Roman" w:cs="Times New Roman"/>
          <w:b/>
          <w:sz w:val="24"/>
          <w:szCs w:val="24"/>
        </w:rPr>
      </w:pPr>
      <w:r w:rsidRPr="001B1BFF">
        <w:rPr>
          <w:rFonts w:ascii="Times New Roman" w:hAnsi="Times New Roman" w:cs="Times New Roman"/>
          <w:b/>
          <w:sz w:val="24"/>
          <w:szCs w:val="24"/>
        </w:rPr>
        <w:lastRenderedPageBreak/>
        <w:t xml:space="preserve">                                        </w:t>
      </w:r>
      <w:r w:rsidR="00766F0F" w:rsidRPr="001B1BFF">
        <w:rPr>
          <w:rFonts w:ascii="Times New Roman" w:hAnsi="Times New Roman" w:cs="Times New Roman"/>
          <w:b/>
          <w:sz w:val="24"/>
          <w:szCs w:val="24"/>
        </w:rPr>
        <w:t>Pathophysiology of Comorbid Diseases</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Some diseases and epidemics happen to concur or exist together in a human body. Often, comorbid diseases trigger each other. For example, social anxiety creates major depressive disorder. It means that one condition causes the other. Besides, comorbidity occurs when two or three diseases have overlapping risk factors. For example, kidney and heart diseases have hypertension as an overlapping risk factor. According to the case scenario of the Caucasian female, it appears that she is experiencing comorbidity of myocardial infarction and hypertension with high cholesterol being the primary cause. </w:t>
      </w:r>
    </w:p>
    <w:p w:rsidR="00766F0F" w:rsidRPr="001B1BFF" w:rsidRDefault="00766F0F" w:rsidP="001B1BFF">
      <w:pPr>
        <w:spacing w:line="480" w:lineRule="auto"/>
        <w:jc w:val="center"/>
        <w:rPr>
          <w:rFonts w:ascii="Times New Roman" w:hAnsi="Times New Roman" w:cs="Times New Roman"/>
          <w:b/>
          <w:sz w:val="24"/>
          <w:szCs w:val="24"/>
        </w:rPr>
      </w:pPr>
      <w:r w:rsidRPr="001B1BFF">
        <w:rPr>
          <w:rFonts w:ascii="Times New Roman" w:hAnsi="Times New Roman" w:cs="Times New Roman"/>
          <w:b/>
          <w:sz w:val="24"/>
          <w:szCs w:val="24"/>
        </w:rPr>
        <w:t>Disease process</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As seen earlier, comorbid diseases trigger each other or share similar risk factors. In the case of the Caucasian woman, it appears high cholesterol level is the initial cause of her comorbidity. Often, high cholesterol emanates from poor diets such as saturated fats from animal products, and high consumption of cookies such as </w:t>
      </w:r>
      <w:r w:rsidR="001B1BFF" w:rsidRPr="00766F0F">
        <w:rPr>
          <w:rFonts w:ascii="Times New Roman" w:hAnsi="Times New Roman" w:cs="Times New Roman"/>
          <w:sz w:val="24"/>
          <w:szCs w:val="24"/>
        </w:rPr>
        <w:t>bakeries. Consumption</w:t>
      </w:r>
      <w:r w:rsidRPr="00766F0F">
        <w:rPr>
          <w:rFonts w:ascii="Times New Roman" w:hAnsi="Times New Roman" w:cs="Times New Roman"/>
          <w:sz w:val="24"/>
          <w:szCs w:val="24"/>
        </w:rPr>
        <w:t xml:space="preserve"> of this type of diet is prevalent among women in Caucasian culture. According to some research, it predisposes them to heart diseases and diabetes, which are factored as prominent causes of increased mortality rate in northern America (Heusch et al., 2016). Often, high cholesterol level is designated by the presence of low-density lipoprotein, which builds plaques that block the arteries, causing the development of myocardial ischemia. Continuous development of plaques leads to rapture, which exceeds the threshold of myocardial ischemia, thus forming myocardial infarction (Ibanez et al., 2015). Notably, the plaque rupture is caused by increased blood pressure as the heart tries to pump the blood out through the narrowed artery. According to health guidelines from </w:t>
      </w:r>
      <w:r w:rsidRPr="001B1BFF">
        <w:rPr>
          <w:rFonts w:ascii="Times New Roman" w:hAnsi="Times New Roman" w:cs="Times New Roman"/>
          <w:i/>
          <w:sz w:val="24"/>
          <w:szCs w:val="24"/>
        </w:rPr>
        <w:t xml:space="preserve">archives of internal medicine, </w:t>
      </w:r>
      <w:r w:rsidRPr="00766F0F">
        <w:rPr>
          <w:rFonts w:ascii="Times New Roman" w:hAnsi="Times New Roman" w:cs="Times New Roman"/>
          <w:sz w:val="24"/>
          <w:szCs w:val="24"/>
        </w:rPr>
        <w:t xml:space="preserve">diastolic blood pressure above 84 to 90 mm Hg signifies an increased risk </w:t>
      </w:r>
      <w:r w:rsidRPr="00766F0F">
        <w:rPr>
          <w:rFonts w:ascii="Times New Roman" w:hAnsi="Times New Roman" w:cs="Times New Roman"/>
          <w:sz w:val="24"/>
          <w:szCs w:val="24"/>
        </w:rPr>
        <w:lastRenderedPageBreak/>
        <w:t xml:space="preserve">of myocardial infarction (Ibanez et al., 2015). Hence, with a blood pressure of 1550-170 for several tests, it is apparent that the Caucasian woman has been experiencing myocardial infarction. Therefore, her comorbid disease development process is a cause and effect relationship where high cholesterol triggered high blood pressure resulting in myocardial infarction. </w:t>
      </w:r>
    </w:p>
    <w:p w:rsidR="00766F0F" w:rsidRPr="001B1BFF" w:rsidRDefault="00766F0F" w:rsidP="001B1BFF">
      <w:pPr>
        <w:spacing w:line="480" w:lineRule="auto"/>
        <w:jc w:val="center"/>
        <w:rPr>
          <w:rFonts w:ascii="Times New Roman" w:hAnsi="Times New Roman" w:cs="Times New Roman"/>
          <w:b/>
          <w:sz w:val="24"/>
          <w:szCs w:val="24"/>
        </w:rPr>
      </w:pPr>
      <w:r w:rsidRPr="001B1BFF">
        <w:rPr>
          <w:rFonts w:ascii="Times New Roman" w:hAnsi="Times New Roman" w:cs="Times New Roman"/>
          <w:b/>
          <w:sz w:val="24"/>
          <w:szCs w:val="24"/>
        </w:rPr>
        <w:t>Pharmacological treatment plans</w:t>
      </w:r>
    </w:p>
    <w:p w:rsidR="001B1BF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The pharmacologic treatment plan of a patient with comorbidity of high blood pressure and myocardial infarction aims at reducing the size of myocardial infarct, thus preventing the occurrence of ventricular fibrillation. Besides, the treatment plan aims at controlling hypertension and hyperlipidemia, which are the major causes of myocardial infarction. For confirmed myocardial infarction like it is in the case of Caucasian woman, the pharmacologic treatment plan should entail a combination of drugs proved to restore coronary blood flow as well as decrease myocardial oxygen consumption.</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 According to clinical research, Aspirin and fibrinolytic therapy are the initial treatment plans that should be administered (Sarkisian et al., .2016). Ideally, Aspirin has a rapid effect of prev</w:t>
      </w:r>
      <w:r w:rsidR="001B1BFF">
        <w:rPr>
          <w:rFonts w:ascii="Times New Roman" w:hAnsi="Times New Roman" w:cs="Times New Roman"/>
          <w:sz w:val="24"/>
          <w:szCs w:val="24"/>
        </w:rPr>
        <w:t xml:space="preserve">enting blood clots and blocking </w:t>
      </w:r>
      <w:r w:rsidRPr="00766F0F">
        <w:rPr>
          <w:rFonts w:ascii="Times New Roman" w:hAnsi="Times New Roman" w:cs="Times New Roman"/>
          <w:sz w:val="24"/>
          <w:szCs w:val="24"/>
        </w:rPr>
        <w:t xml:space="preserve">cyclooxygenase, which forms the fatty acids.  In this case, 150-300mg of aspirin should be given to the woman suspected to have myocardial infarction. Fibrinolytic therapy is the core treatment of MI. It restores blood flow by dissolving the thrombus in the arteries (Ibanez et al., 2015). Tissue plasminogen activator and the Australia streptokinase drugs are the fibrinolytic therapy drugs to be issued. For blood pressure, thiazide diuretics, ACE inhibitors, and angiotensin II receptor blockers should be issued to curb </w:t>
      </w:r>
      <w:r w:rsidRPr="00766F0F">
        <w:rPr>
          <w:rFonts w:ascii="Times New Roman" w:hAnsi="Times New Roman" w:cs="Times New Roman"/>
          <w:sz w:val="24"/>
          <w:szCs w:val="24"/>
        </w:rPr>
        <w:lastRenderedPageBreak/>
        <w:t xml:space="preserve">hypertension. Combination of the two treatment approaches for both hypertension and </w:t>
      </w:r>
      <w:r w:rsidR="001B1BFF" w:rsidRPr="00766F0F">
        <w:rPr>
          <w:rFonts w:ascii="Times New Roman" w:hAnsi="Times New Roman" w:cs="Times New Roman"/>
          <w:sz w:val="24"/>
          <w:szCs w:val="24"/>
        </w:rPr>
        <w:t>MI is</w:t>
      </w:r>
      <w:r w:rsidRPr="00766F0F">
        <w:rPr>
          <w:rFonts w:ascii="Times New Roman" w:hAnsi="Times New Roman" w:cs="Times New Roman"/>
          <w:sz w:val="24"/>
          <w:szCs w:val="24"/>
        </w:rPr>
        <w:t xml:space="preserve"> highly expected to optimize the patient health and restore healthy well-being. </w:t>
      </w:r>
    </w:p>
    <w:p w:rsidR="00766F0F" w:rsidRPr="001B1BFF" w:rsidRDefault="00766F0F" w:rsidP="001B1BFF">
      <w:pPr>
        <w:spacing w:line="480" w:lineRule="auto"/>
        <w:jc w:val="center"/>
        <w:rPr>
          <w:rFonts w:ascii="Times New Roman" w:hAnsi="Times New Roman" w:cs="Times New Roman"/>
          <w:b/>
          <w:sz w:val="24"/>
          <w:szCs w:val="24"/>
        </w:rPr>
      </w:pPr>
      <w:r w:rsidRPr="001B1BFF">
        <w:rPr>
          <w:rFonts w:ascii="Times New Roman" w:hAnsi="Times New Roman" w:cs="Times New Roman"/>
          <w:b/>
          <w:sz w:val="24"/>
          <w:szCs w:val="24"/>
        </w:rPr>
        <w:t>Optimal goals</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The optimal treatment goals for the Caucasian woman is to prevent ventricular fibrillation, as well as reduce the infarct size. According to health statistics, heart disease is the leading cause of death in America, especially for women over 50 years (Ibanez et al., 2015). Hence, both plans aim a preventing death that occurs as a result of myocardial infarct damage and ventricular fibrillation. According to the </w:t>
      </w:r>
      <w:r w:rsidRPr="000B71B7">
        <w:rPr>
          <w:rFonts w:ascii="Times New Roman" w:hAnsi="Times New Roman" w:cs="Times New Roman"/>
          <w:i/>
          <w:sz w:val="24"/>
          <w:szCs w:val="24"/>
        </w:rPr>
        <w:t>Issis-2</w:t>
      </w:r>
      <w:r w:rsidRPr="00766F0F">
        <w:rPr>
          <w:rFonts w:ascii="Times New Roman" w:hAnsi="Times New Roman" w:cs="Times New Roman"/>
          <w:sz w:val="24"/>
          <w:szCs w:val="24"/>
        </w:rPr>
        <w:t xml:space="preserve"> group, thrombus formation and decreased myocardial consumption are the two main factors that cause MI complication resulting in death (Violi et al., 2016). Hence, treatment plans should always be centered on alleviating these conditions.</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Similarly, the </w:t>
      </w:r>
      <w:r w:rsidRPr="000B71B7">
        <w:rPr>
          <w:rFonts w:ascii="Times New Roman" w:hAnsi="Times New Roman" w:cs="Times New Roman"/>
          <w:i/>
          <w:sz w:val="24"/>
          <w:szCs w:val="24"/>
        </w:rPr>
        <w:t>fibronolytic therapy trialist collaborative group</w:t>
      </w:r>
      <w:r w:rsidRPr="00766F0F">
        <w:rPr>
          <w:rFonts w:ascii="Times New Roman" w:hAnsi="Times New Roman" w:cs="Times New Roman"/>
          <w:sz w:val="24"/>
          <w:szCs w:val="24"/>
        </w:rPr>
        <w:t xml:space="preserve"> inform that treatments of myocardial infarction and hypertension comorbid aim at reducing myocardial damage by restoring oxygen supply and preventing </w:t>
      </w:r>
      <w:bookmarkStart w:id="0" w:name="_GoBack"/>
      <w:bookmarkEnd w:id="0"/>
      <w:r w:rsidRPr="00766F0F">
        <w:rPr>
          <w:rFonts w:ascii="Times New Roman" w:hAnsi="Times New Roman" w:cs="Times New Roman"/>
          <w:sz w:val="24"/>
          <w:szCs w:val="24"/>
        </w:rPr>
        <w:t xml:space="preserve">thrombus formation (Violi et al., 2016). These guidelines help create an effective treatment aim for the Caucasian woman, following that she is already under some medications without much improvement. Hence, the optimal goal in this research is to prevent MI complications and death caused by infarct damage and ventricular fibrillation. </w:t>
      </w:r>
    </w:p>
    <w:p w:rsidR="00766F0F" w:rsidRPr="001B1BFF" w:rsidRDefault="00766F0F" w:rsidP="001B1BFF">
      <w:pPr>
        <w:spacing w:line="480" w:lineRule="auto"/>
        <w:jc w:val="center"/>
        <w:rPr>
          <w:rFonts w:ascii="Times New Roman" w:hAnsi="Times New Roman" w:cs="Times New Roman"/>
          <w:b/>
          <w:sz w:val="24"/>
          <w:szCs w:val="24"/>
        </w:rPr>
      </w:pPr>
      <w:r w:rsidRPr="001B1BFF">
        <w:rPr>
          <w:rFonts w:ascii="Times New Roman" w:hAnsi="Times New Roman" w:cs="Times New Roman"/>
          <w:b/>
          <w:sz w:val="24"/>
          <w:szCs w:val="24"/>
        </w:rPr>
        <w:t>Potential pharmacological interaction</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According to the proposed treatment plan, the pharmacology drugs issued have a friendly interaction where all work together to arrest MI progression as well as lower the level of high blood pressure. In this case, some drugs work at alleviating the primary cause, while others </w:t>
      </w:r>
      <w:r w:rsidRPr="00766F0F">
        <w:rPr>
          <w:rFonts w:ascii="Times New Roman" w:hAnsi="Times New Roman" w:cs="Times New Roman"/>
          <w:sz w:val="24"/>
          <w:szCs w:val="24"/>
        </w:rPr>
        <w:lastRenderedPageBreak/>
        <w:t>reduce the comorbid of the two diseases. For example, aspirin and ACE inhibitors work together in blocking the action of prostaglandins that narrows blood vessels leading to MI. By doing so, they prevent blood pressure and formation of plaques.</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On the other hand, fibrinolytic therapy drugs and thiazide diuretics interact to restore the normal blood flow by dissolving the thrombus. Besides, the prescription includes educational guidelines that help patients understood drug usage and interaction. For example, research informs that patients with a history of myocardial infarction can be given aspirin even before the results of ECG are issued (Heusch et al., 2016). Hence, patients are educated that aspirin is an initial treatment before further investigations are done. Also, patients are educated that fibrinolytic therapy drugs are issued when one has controlled blood pressure and a compressible vascular puncture. </w:t>
      </w:r>
    </w:p>
    <w:p w:rsidR="00766F0F" w:rsidRPr="001B1BFF" w:rsidRDefault="00766F0F" w:rsidP="001B1BFF">
      <w:pPr>
        <w:spacing w:line="480" w:lineRule="auto"/>
        <w:jc w:val="center"/>
        <w:rPr>
          <w:rFonts w:ascii="Times New Roman" w:hAnsi="Times New Roman" w:cs="Times New Roman"/>
          <w:b/>
          <w:sz w:val="24"/>
          <w:szCs w:val="24"/>
        </w:rPr>
      </w:pPr>
      <w:r w:rsidRPr="001B1BFF">
        <w:rPr>
          <w:rFonts w:ascii="Times New Roman" w:hAnsi="Times New Roman" w:cs="Times New Roman"/>
          <w:b/>
          <w:sz w:val="24"/>
          <w:szCs w:val="24"/>
        </w:rPr>
        <w:t>Interdisciplinary teamwork involved</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The success of healthcare at large depends on how well the involved physicians are able to collaborate in providing effective and efficient services, more specifically, for comorbid diseases. For the case of the Caucasian woman, the interdisciplinary team that might be involved in her diagnosis might entail a cardiologist, cardiac care unit nurses, pharmacists, and respiratory therapists. Working collaboratively as a team fosters communication, which is the bases of quality care. In essence, it reduces the prevalence of errors and misdiagnosis (Violi et al., 2016). It also increases efficiency since diagnostic plans are made based on diverse consultation. Collectively, the multidisciplinary forces improve patient outcome. </w:t>
      </w:r>
    </w:p>
    <w:p w:rsidR="000B71B7" w:rsidRDefault="000B71B7" w:rsidP="000B71B7">
      <w:pPr>
        <w:spacing w:line="480" w:lineRule="auto"/>
        <w:jc w:val="center"/>
        <w:rPr>
          <w:rFonts w:ascii="Times New Roman" w:hAnsi="Times New Roman" w:cs="Times New Roman"/>
          <w:b/>
          <w:sz w:val="24"/>
          <w:szCs w:val="24"/>
        </w:rPr>
      </w:pPr>
    </w:p>
    <w:p w:rsidR="000B71B7" w:rsidRDefault="000B71B7" w:rsidP="000B71B7">
      <w:pPr>
        <w:spacing w:line="480" w:lineRule="auto"/>
        <w:jc w:val="center"/>
        <w:rPr>
          <w:rFonts w:ascii="Times New Roman" w:hAnsi="Times New Roman" w:cs="Times New Roman"/>
          <w:b/>
          <w:sz w:val="24"/>
          <w:szCs w:val="24"/>
        </w:rPr>
      </w:pPr>
    </w:p>
    <w:p w:rsidR="00766F0F" w:rsidRPr="000B71B7" w:rsidRDefault="00766F0F" w:rsidP="000B71B7">
      <w:pPr>
        <w:spacing w:line="480" w:lineRule="auto"/>
        <w:jc w:val="center"/>
        <w:rPr>
          <w:rFonts w:ascii="Times New Roman" w:hAnsi="Times New Roman" w:cs="Times New Roman"/>
          <w:b/>
          <w:sz w:val="24"/>
          <w:szCs w:val="24"/>
        </w:rPr>
      </w:pPr>
      <w:r w:rsidRPr="000B71B7">
        <w:rPr>
          <w:rFonts w:ascii="Times New Roman" w:hAnsi="Times New Roman" w:cs="Times New Roman"/>
          <w:b/>
          <w:sz w:val="24"/>
          <w:szCs w:val="24"/>
        </w:rPr>
        <w:lastRenderedPageBreak/>
        <w:t>Non-pharmacological educational and health maintenance needs</w:t>
      </w:r>
    </w:p>
    <w:p w:rsidR="00766F0F" w:rsidRPr="00766F0F" w:rsidRDefault="00766F0F" w:rsidP="000B71B7">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Often, the presence of MI, high cholesterol, and hypertension associated with some lifestyles. Hence, non-pharmacological education and health maintenance practices are needed to optimize health and recovery. Firstly, blood pressure control is the utmost educational therapy required in this scenario. As such, the patient is advised to practice the consumption of healthy diets with limited amount of salt. Also, to foster blood circulation, the patient will be encouraged to engage in physical activities such as jogging. </w:t>
      </w:r>
    </w:p>
    <w:p w:rsidR="00766F0F" w:rsidRPr="00766F0F" w:rsidRDefault="00766F0F" w:rsidP="001B1BFF">
      <w:pPr>
        <w:spacing w:line="480" w:lineRule="auto"/>
        <w:ind w:firstLine="720"/>
        <w:rPr>
          <w:rFonts w:ascii="Times New Roman" w:hAnsi="Times New Roman" w:cs="Times New Roman"/>
          <w:sz w:val="24"/>
          <w:szCs w:val="24"/>
        </w:rPr>
      </w:pPr>
      <w:r w:rsidRPr="00766F0F">
        <w:rPr>
          <w:rFonts w:ascii="Times New Roman" w:hAnsi="Times New Roman" w:cs="Times New Roman"/>
          <w:sz w:val="24"/>
          <w:szCs w:val="24"/>
        </w:rPr>
        <w:t xml:space="preserve">Reducing obesity enhances the maintenance of healthier weight. Furthermore, limiting alcohol intake will lower blood pressure and a high cholesterol level (Heusch et al., 2016). In addition, it is a requirement that patients such as the Caucasian woman should be educated about the signs and symptoms of heart attack and hypertension. They should also be educated on risk factors and how to avoid them. For example, smoking and diabetes mellitus are proved to be potential risk factors for Myocardial infarction. Besides, the woman will be educated about the social culture issues of the Americans that predispose them to heart diseases and high blood pressure. Indeed, incorporating such educational services in the treatment plan will promote self-care, recovery, and prevention of MI and hypertension progression. </w:t>
      </w: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766F0F" w:rsidRPr="00766F0F" w:rsidRDefault="00766F0F" w:rsidP="00766F0F">
      <w:pPr>
        <w:spacing w:line="480" w:lineRule="auto"/>
        <w:rPr>
          <w:rFonts w:ascii="Times New Roman" w:hAnsi="Times New Roman" w:cs="Times New Roman"/>
          <w:sz w:val="24"/>
          <w:szCs w:val="24"/>
        </w:rPr>
      </w:pPr>
    </w:p>
    <w:p w:rsidR="001B1BFF" w:rsidRDefault="001B1BFF" w:rsidP="00766F0F">
      <w:pPr>
        <w:spacing w:line="480" w:lineRule="auto"/>
        <w:rPr>
          <w:rFonts w:ascii="Times New Roman" w:hAnsi="Times New Roman" w:cs="Times New Roman"/>
          <w:sz w:val="24"/>
          <w:szCs w:val="24"/>
        </w:rPr>
      </w:pPr>
    </w:p>
    <w:p w:rsidR="00766F0F" w:rsidRPr="00766F0F" w:rsidRDefault="00766F0F" w:rsidP="001B1BFF">
      <w:pPr>
        <w:spacing w:line="480" w:lineRule="auto"/>
        <w:ind w:left="2880" w:firstLine="720"/>
        <w:rPr>
          <w:rFonts w:ascii="Times New Roman" w:hAnsi="Times New Roman" w:cs="Times New Roman"/>
          <w:sz w:val="24"/>
          <w:szCs w:val="24"/>
        </w:rPr>
      </w:pPr>
      <w:r w:rsidRPr="00766F0F">
        <w:rPr>
          <w:rFonts w:ascii="Times New Roman" w:hAnsi="Times New Roman" w:cs="Times New Roman"/>
          <w:sz w:val="24"/>
          <w:szCs w:val="24"/>
        </w:rPr>
        <w:t>References</w:t>
      </w:r>
    </w:p>
    <w:p w:rsidR="00766F0F" w:rsidRPr="001B1BFF" w:rsidRDefault="00766F0F" w:rsidP="001B1BFF">
      <w:pPr>
        <w:spacing w:line="480" w:lineRule="auto"/>
        <w:ind w:left="720" w:hanging="720"/>
        <w:rPr>
          <w:rFonts w:ascii="Times New Roman" w:hAnsi="Times New Roman" w:cs="Times New Roman"/>
          <w:i/>
          <w:sz w:val="24"/>
          <w:szCs w:val="24"/>
        </w:rPr>
      </w:pPr>
      <w:r w:rsidRPr="00766F0F">
        <w:rPr>
          <w:rFonts w:ascii="Times New Roman" w:hAnsi="Times New Roman" w:cs="Times New Roman"/>
          <w:sz w:val="24"/>
          <w:szCs w:val="24"/>
        </w:rPr>
        <w:t xml:space="preserve">Heusch, G., &amp; </w:t>
      </w:r>
      <w:proofErr w:type="spellStart"/>
      <w:r w:rsidRPr="00766F0F">
        <w:rPr>
          <w:rFonts w:ascii="Times New Roman" w:hAnsi="Times New Roman" w:cs="Times New Roman"/>
          <w:sz w:val="24"/>
          <w:szCs w:val="24"/>
        </w:rPr>
        <w:t>Gersh</w:t>
      </w:r>
      <w:proofErr w:type="spellEnd"/>
      <w:r w:rsidRPr="00766F0F">
        <w:rPr>
          <w:rFonts w:ascii="Times New Roman" w:hAnsi="Times New Roman" w:cs="Times New Roman"/>
          <w:sz w:val="24"/>
          <w:szCs w:val="24"/>
        </w:rPr>
        <w:t xml:space="preserve">, B. J. (2016). The pathophysiology of acute myocardial infarction and strategies of protection beyond reperfusion: a continual challenge. </w:t>
      </w:r>
      <w:r w:rsidRPr="001B1BFF">
        <w:rPr>
          <w:rFonts w:ascii="Times New Roman" w:hAnsi="Times New Roman" w:cs="Times New Roman"/>
          <w:i/>
          <w:sz w:val="24"/>
          <w:szCs w:val="24"/>
        </w:rPr>
        <w:t>European heart journal, 38(11), 774-784.</w:t>
      </w:r>
    </w:p>
    <w:p w:rsidR="00766F0F" w:rsidRPr="00766F0F" w:rsidRDefault="00766F0F" w:rsidP="001B1BFF">
      <w:pPr>
        <w:spacing w:line="480" w:lineRule="auto"/>
        <w:ind w:left="720" w:hanging="720"/>
        <w:rPr>
          <w:rFonts w:ascii="Times New Roman" w:hAnsi="Times New Roman" w:cs="Times New Roman"/>
          <w:sz w:val="24"/>
          <w:szCs w:val="24"/>
        </w:rPr>
      </w:pPr>
      <w:r w:rsidRPr="00766F0F">
        <w:rPr>
          <w:rFonts w:ascii="Times New Roman" w:hAnsi="Times New Roman" w:cs="Times New Roman"/>
          <w:sz w:val="24"/>
          <w:szCs w:val="24"/>
        </w:rPr>
        <w:t xml:space="preserve">Ibanez, B., Heusch, G., </w:t>
      </w:r>
      <w:proofErr w:type="spellStart"/>
      <w:r w:rsidRPr="00766F0F">
        <w:rPr>
          <w:rFonts w:ascii="Times New Roman" w:hAnsi="Times New Roman" w:cs="Times New Roman"/>
          <w:sz w:val="24"/>
          <w:szCs w:val="24"/>
        </w:rPr>
        <w:t>Ovize</w:t>
      </w:r>
      <w:proofErr w:type="spellEnd"/>
      <w:r w:rsidRPr="00766F0F">
        <w:rPr>
          <w:rFonts w:ascii="Times New Roman" w:hAnsi="Times New Roman" w:cs="Times New Roman"/>
          <w:sz w:val="24"/>
          <w:szCs w:val="24"/>
        </w:rPr>
        <w:t xml:space="preserve">, M., &amp; Van de </w:t>
      </w:r>
      <w:proofErr w:type="spellStart"/>
      <w:r w:rsidRPr="00766F0F">
        <w:rPr>
          <w:rFonts w:ascii="Times New Roman" w:hAnsi="Times New Roman" w:cs="Times New Roman"/>
          <w:sz w:val="24"/>
          <w:szCs w:val="24"/>
        </w:rPr>
        <w:t>Werf</w:t>
      </w:r>
      <w:proofErr w:type="spellEnd"/>
      <w:r w:rsidRPr="00766F0F">
        <w:rPr>
          <w:rFonts w:ascii="Times New Roman" w:hAnsi="Times New Roman" w:cs="Times New Roman"/>
          <w:sz w:val="24"/>
          <w:szCs w:val="24"/>
        </w:rPr>
        <w:t xml:space="preserve">, F. (2015). Evolving therapies for myocardial ischemia/reperfusion injury. </w:t>
      </w:r>
      <w:r w:rsidRPr="001B1BFF">
        <w:rPr>
          <w:rFonts w:ascii="Times New Roman" w:hAnsi="Times New Roman" w:cs="Times New Roman"/>
          <w:i/>
          <w:sz w:val="24"/>
          <w:szCs w:val="24"/>
        </w:rPr>
        <w:t>Journal of the American College of Cardiology, 65(14), 1454-1471</w:t>
      </w:r>
      <w:r w:rsidRPr="00766F0F">
        <w:rPr>
          <w:rFonts w:ascii="Times New Roman" w:hAnsi="Times New Roman" w:cs="Times New Roman"/>
          <w:sz w:val="24"/>
          <w:szCs w:val="24"/>
        </w:rPr>
        <w:t>.</w:t>
      </w:r>
    </w:p>
    <w:p w:rsidR="00766F0F" w:rsidRPr="00766F0F" w:rsidRDefault="00766F0F" w:rsidP="001B1BFF">
      <w:pPr>
        <w:spacing w:line="480" w:lineRule="auto"/>
        <w:ind w:left="720" w:hanging="720"/>
        <w:rPr>
          <w:rFonts w:ascii="Times New Roman" w:hAnsi="Times New Roman" w:cs="Times New Roman"/>
          <w:sz w:val="24"/>
          <w:szCs w:val="24"/>
        </w:rPr>
      </w:pPr>
      <w:r w:rsidRPr="00766F0F">
        <w:rPr>
          <w:rFonts w:ascii="Times New Roman" w:hAnsi="Times New Roman" w:cs="Times New Roman"/>
          <w:sz w:val="24"/>
          <w:szCs w:val="24"/>
        </w:rPr>
        <w:t xml:space="preserve">Sarkisian, L., </w:t>
      </w:r>
      <w:proofErr w:type="spellStart"/>
      <w:r w:rsidRPr="00766F0F">
        <w:rPr>
          <w:rFonts w:ascii="Times New Roman" w:hAnsi="Times New Roman" w:cs="Times New Roman"/>
          <w:sz w:val="24"/>
          <w:szCs w:val="24"/>
        </w:rPr>
        <w:t>Saaby</w:t>
      </w:r>
      <w:proofErr w:type="spellEnd"/>
      <w:r w:rsidRPr="00766F0F">
        <w:rPr>
          <w:rFonts w:ascii="Times New Roman" w:hAnsi="Times New Roman" w:cs="Times New Roman"/>
          <w:sz w:val="24"/>
          <w:szCs w:val="24"/>
        </w:rPr>
        <w:t xml:space="preserve">, L., </w:t>
      </w:r>
      <w:proofErr w:type="spellStart"/>
      <w:r w:rsidRPr="00766F0F">
        <w:rPr>
          <w:rFonts w:ascii="Times New Roman" w:hAnsi="Times New Roman" w:cs="Times New Roman"/>
          <w:sz w:val="24"/>
          <w:szCs w:val="24"/>
        </w:rPr>
        <w:t>Poulsen</w:t>
      </w:r>
      <w:proofErr w:type="spellEnd"/>
      <w:r w:rsidRPr="00766F0F">
        <w:rPr>
          <w:rFonts w:ascii="Times New Roman" w:hAnsi="Times New Roman" w:cs="Times New Roman"/>
          <w:sz w:val="24"/>
          <w:szCs w:val="24"/>
        </w:rPr>
        <w:t xml:space="preserve">, T. S., </w:t>
      </w:r>
      <w:proofErr w:type="spellStart"/>
      <w:r w:rsidRPr="00766F0F">
        <w:rPr>
          <w:rFonts w:ascii="Times New Roman" w:hAnsi="Times New Roman" w:cs="Times New Roman"/>
          <w:sz w:val="24"/>
          <w:szCs w:val="24"/>
        </w:rPr>
        <w:t>Gerke</w:t>
      </w:r>
      <w:proofErr w:type="spellEnd"/>
      <w:r w:rsidRPr="00766F0F">
        <w:rPr>
          <w:rFonts w:ascii="Times New Roman" w:hAnsi="Times New Roman" w:cs="Times New Roman"/>
          <w:sz w:val="24"/>
          <w:szCs w:val="24"/>
        </w:rPr>
        <w:t xml:space="preserve">, O., </w:t>
      </w:r>
      <w:proofErr w:type="spellStart"/>
      <w:r w:rsidRPr="00766F0F">
        <w:rPr>
          <w:rFonts w:ascii="Times New Roman" w:hAnsi="Times New Roman" w:cs="Times New Roman"/>
          <w:sz w:val="24"/>
          <w:szCs w:val="24"/>
        </w:rPr>
        <w:t>Jangaard</w:t>
      </w:r>
      <w:proofErr w:type="spellEnd"/>
      <w:r w:rsidRPr="00766F0F">
        <w:rPr>
          <w:rFonts w:ascii="Times New Roman" w:hAnsi="Times New Roman" w:cs="Times New Roman"/>
          <w:sz w:val="24"/>
          <w:szCs w:val="24"/>
        </w:rPr>
        <w:t xml:space="preserve">, N., </w:t>
      </w:r>
      <w:proofErr w:type="spellStart"/>
      <w:r w:rsidRPr="00766F0F">
        <w:rPr>
          <w:rFonts w:ascii="Times New Roman" w:hAnsi="Times New Roman" w:cs="Times New Roman"/>
          <w:sz w:val="24"/>
          <w:szCs w:val="24"/>
        </w:rPr>
        <w:t>Hosbond</w:t>
      </w:r>
      <w:proofErr w:type="spellEnd"/>
      <w:r w:rsidRPr="00766F0F">
        <w:rPr>
          <w:rFonts w:ascii="Times New Roman" w:hAnsi="Times New Roman" w:cs="Times New Roman"/>
          <w:sz w:val="24"/>
          <w:szCs w:val="24"/>
        </w:rPr>
        <w:t>, S</w:t>
      </w:r>
      <w:proofErr w:type="gramStart"/>
      <w:r w:rsidRPr="00766F0F">
        <w:rPr>
          <w:rFonts w:ascii="Times New Roman" w:hAnsi="Times New Roman" w:cs="Times New Roman"/>
          <w:sz w:val="24"/>
          <w:szCs w:val="24"/>
        </w:rPr>
        <w:t>., ...</w:t>
      </w:r>
      <w:proofErr w:type="gramEnd"/>
      <w:r w:rsidRPr="00766F0F">
        <w:rPr>
          <w:rFonts w:ascii="Times New Roman" w:hAnsi="Times New Roman" w:cs="Times New Roman"/>
          <w:sz w:val="24"/>
          <w:szCs w:val="24"/>
        </w:rPr>
        <w:t xml:space="preserve"> &amp; </w:t>
      </w:r>
      <w:proofErr w:type="spellStart"/>
      <w:r w:rsidRPr="00766F0F">
        <w:rPr>
          <w:rFonts w:ascii="Times New Roman" w:hAnsi="Times New Roman" w:cs="Times New Roman"/>
          <w:sz w:val="24"/>
          <w:szCs w:val="24"/>
        </w:rPr>
        <w:t>Mickley</w:t>
      </w:r>
      <w:proofErr w:type="spellEnd"/>
      <w:r w:rsidRPr="00766F0F">
        <w:rPr>
          <w:rFonts w:ascii="Times New Roman" w:hAnsi="Times New Roman" w:cs="Times New Roman"/>
          <w:sz w:val="24"/>
          <w:szCs w:val="24"/>
        </w:rPr>
        <w:t xml:space="preserve">, H. (2016). Clinical characteristics and outcomes of patients with myocardial infarction, myocardial injury, and </w:t>
      </w:r>
      <w:proofErr w:type="spellStart"/>
      <w:r w:rsidRPr="00766F0F">
        <w:rPr>
          <w:rFonts w:ascii="Times New Roman" w:hAnsi="Times New Roman" w:cs="Times New Roman"/>
          <w:sz w:val="24"/>
          <w:szCs w:val="24"/>
        </w:rPr>
        <w:t>nonelevated</w:t>
      </w:r>
      <w:proofErr w:type="spellEnd"/>
      <w:r w:rsidRPr="00766F0F">
        <w:rPr>
          <w:rFonts w:ascii="Times New Roman" w:hAnsi="Times New Roman" w:cs="Times New Roman"/>
          <w:sz w:val="24"/>
          <w:szCs w:val="24"/>
        </w:rPr>
        <w:t xml:space="preserve"> troponins. </w:t>
      </w:r>
      <w:r w:rsidRPr="001B1BFF">
        <w:rPr>
          <w:rFonts w:ascii="Times New Roman" w:hAnsi="Times New Roman" w:cs="Times New Roman"/>
          <w:i/>
          <w:sz w:val="24"/>
          <w:szCs w:val="24"/>
        </w:rPr>
        <w:t>The American journal of medicine, 129(4), 446-e5.</w:t>
      </w:r>
    </w:p>
    <w:p w:rsidR="00766F0F" w:rsidRPr="001B1BFF" w:rsidRDefault="00766F0F" w:rsidP="001B1BFF">
      <w:pPr>
        <w:spacing w:line="480" w:lineRule="auto"/>
        <w:ind w:left="720" w:hanging="720"/>
        <w:rPr>
          <w:rFonts w:ascii="Times New Roman" w:hAnsi="Times New Roman" w:cs="Times New Roman"/>
          <w:i/>
          <w:sz w:val="24"/>
          <w:szCs w:val="24"/>
        </w:rPr>
      </w:pPr>
      <w:r w:rsidRPr="00766F0F">
        <w:rPr>
          <w:rFonts w:ascii="Times New Roman" w:hAnsi="Times New Roman" w:cs="Times New Roman"/>
          <w:sz w:val="24"/>
          <w:szCs w:val="24"/>
        </w:rPr>
        <w:t xml:space="preserve">Violi, F., </w:t>
      </w:r>
      <w:proofErr w:type="spellStart"/>
      <w:r w:rsidRPr="00766F0F">
        <w:rPr>
          <w:rFonts w:ascii="Times New Roman" w:hAnsi="Times New Roman" w:cs="Times New Roman"/>
          <w:sz w:val="24"/>
          <w:szCs w:val="24"/>
        </w:rPr>
        <w:t>Soliman</w:t>
      </w:r>
      <w:proofErr w:type="spellEnd"/>
      <w:r w:rsidRPr="00766F0F">
        <w:rPr>
          <w:rFonts w:ascii="Times New Roman" w:hAnsi="Times New Roman" w:cs="Times New Roman"/>
          <w:sz w:val="24"/>
          <w:szCs w:val="24"/>
        </w:rPr>
        <w:t xml:space="preserve">, E. Z., </w:t>
      </w:r>
      <w:proofErr w:type="spellStart"/>
      <w:r w:rsidRPr="00766F0F">
        <w:rPr>
          <w:rFonts w:ascii="Times New Roman" w:hAnsi="Times New Roman" w:cs="Times New Roman"/>
          <w:sz w:val="24"/>
          <w:szCs w:val="24"/>
        </w:rPr>
        <w:t>Pignatelli</w:t>
      </w:r>
      <w:proofErr w:type="spellEnd"/>
      <w:r w:rsidRPr="00766F0F">
        <w:rPr>
          <w:rFonts w:ascii="Times New Roman" w:hAnsi="Times New Roman" w:cs="Times New Roman"/>
          <w:sz w:val="24"/>
          <w:szCs w:val="24"/>
        </w:rPr>
        <w:t xml:space="preserve">, P., &amp; </w:t>
      </w:r>
      <w:proofErr w:type="spellStart"/>
      <w:r w:rsidRPr="00766F0F">
        <w:rPr>
          <w:rFonts w:ascii="Times New Roman" w:hAnsi="Times New Roman" w:cs="Times New Roman"/>
          <w:sz w:val="24"/>
          <w:szCs w:val="24"/>
        </w:rPr>
        <w:t>Pastori</w:t>
      </w:r>
      <w:proofErr w:type="spellEnd"/>
      <w:r w:rsidRPr="00766F0F">
        <w:rPr>
          <w:rFonts w:ascii="Times New Roman" w:hAnsi="Times New Roman" w:cs="Times New Roman"/>
          <w:sz w:val="24"/>
          <w:szCs w:val="24"/>
        </w:rPr>
        <w:t xml:space="preserve">, D. (2016). Atrial fibrillation and myocardial infarction: a systematic review and appraisal of pathophysiologic mechanisms. </w:t>
      </w:r>
      <w:r w:rsidRPr="001B1BFF">
        <w:rPr>
          <w:rFonts w:ascii="Times New Roman" w:hAnsi="Times New Roman" w:cs="Times New Roman"/>
          <w:i/>
          <w:sz w:val="24"/>
          <w:szCs w:val="24"/>
        </w:rPr>
        <w:t>Journal of the American Heart Association, 5(5), e003347.</w:t>
      </w:r>
    </w:p>
    <w:p w:rsidR="00766F0F" w:rsidRPr="00766F0F" w:rsidRDefault="00766F0F" w:rsidP="001B1BFF">
      <w:pPr>
        <w:spacing w:line="480" w:lineRule="auto"/>
        <w:ind w:left="720" w:hanging="720"/>
        <w:rPr>
          <w:rFonts w:ascii="Times New Roman" w:hAnsi="Times New Roman" w:cs="Times New Roman"/>
          <w:sz w:val="24"/>
          <w:szCs w:val="24"/>
        </w:rPr>
      </w:pPr>
    </w:p>
    <w:p w:rsidR="007143D8" w:rsidRPr="00BB69D5" w:rsidRDefault="00766F0F" w:rsidP="001B1BFF">
      <w:pPr>
        <w:spacing w:line="480" w:lineRule="auto"/>
        <w:ind w:left="720" w:hanging="720"/>
        <w:rPr>
          <w:rFonts w:ascii="Times New Roman" w:hAnsi="Times New Roman" w:cs="Times New Roman"/>
          <w:sz w:val="24"/>
          <w:szCs w:val="24"/>
        </w:rPr>
      </w:pPr>
      <w:r w:rsidRPr="00766F0F">
        <w:rPr>
          <w:rFonts w:ascii="Times New Roman" w:hAnsi="Times New Roman" w:cs="Times New Roman"/>
          <w:sz w:val="24"/>
          <w:szCs w:val="24"/>
        </w:rPr>
        <w:t xml:space="preserve"> </w:t>
      </w:r>
      <w:r w:rsidR="00142ACC" w:rsidRPr="00BB69D5">
        <w:rPr>
          <w:rFonts w:ascii="Times New Roman" w:hAnsi="Times New Roman" w:cs="Times New Roman"/>
          <w:sz w:val="24"/>
          <w:szCs w:val="24"/>
        </w:rPr>
        <w:t xml:space="preserve"> </w:t>
      </w:r>
    </w:p>
    <w:sectPr w:rsidR="007143D8" w:rsidRPr="00BB69D5" w:rsidSect="00773F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831" w:rsidRDefault="00A33831" w:rsidP="00E9575A">
      <w:pPr>
        <w:spacing w:after="0" w:line="240" w:lineRule="auto"/>
      </w:pPr>
      <w:r>
        <w:separator/>
      </w:r>
    </w:p>
  </w:endnote>
  <w:endnote w:type="continuationSeparator" w:id="0">
    <w:p w:rsidR="00A33831" w:rsidRDefault="00A33831" w:rsidP="00E95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831" w:rsidRDefault="00A33831" w:rsidP="00E9575A">
      <w:pPr>
        <w:spacing w:after="0" w:line="240" w:lineRule="auto"/>
      </w:pPr>
      <w:r>
        <w:separator/>
      </w:r>
    </w:p>
  </w:footnote>
  <w:footnote w:type="continuationSeparator" w:id="0">
    <w:p w:rsidR="00A33831" w:rsidRDefault="00A33831" w:rsidP="00E95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0513294"/>
      <w:docPartObj>
        <w:docPartGallery w:val="Page Numbers (Top of Page)"/>
        <w:docPartUnique/>
      </w:docPartObj>
    </w:sdtPr>
    <w:sdtEndPr>
      <w:rPr>
        <w:noProof/>
      </w:rPr>
    </w:sdtEndPr>
    <w:sdtContent>
      <w:p w:rsidR="00E9575A" w:rsidRPr="001B1BFF" w:rsidRDefault="001B1BFF" w:rsidP="001B1BFF">
        <w:pPr>
          <w:spacing w:line="480" w:lineRule="auto"/>
          <w:rPr>
            <w:rFonts w:ascii="Times New Roman" w:hAnsi="Times New Roman" w:cs="Times New Roman"/>
            <w:sz w:val="24"/>
            <w:szCs w:val="24"/>
          </w:rPr>
        </w:pPr>
        <w:r w:rsidRPr="001B1BFF">
          <w:rPr>
            <w:rFonts w:ascii="Times New Roman" w:hAnsi="Times New Roman" w:cs="Times New Roman"/>
            <w:sz w:val="24"/>
            <w:szCs w:val="24"/>
          </w:rPr>
          <w:t>PATHOPHYSIOLOGY OF COMORBID DISEASES</w:t>
        </w:r>
        <w:r w:rsidRPr="001B1BFF">
          <w:rPr>
            <w:rFonts w:ascii="Times New Roman" w:hAnsi="Times New Roman" w:cs="Times New Roman"/>
            <w:sz w:val="24"/>
            <w:szCs w:val="24"/>
          </w:rPr>
          <w:tab/>
        </w:r>
        <w:r w:rsidRPr="001B1BFF">
          <w:rPr>
            <w:rFonts w:ascii="Times New Roman" w:hAnsi="Times New Roman" w:cs="Times New Roman"/>
            <w:sz w:val="24"/>
            <w:szCs w:val="24"/>
          </w:rPr>
          <w:tab/>
        </w:r>
        <w:r w:rsidRPr="001B1BFF">
          <w:rPr>
            <w:rFonts w:ascii="Times New Roman" w:hAnsi="Times New Roman" w:cs="Times New Roman"/>
            <w:sz w:val="24"/>
            <w:szCs w:val="24"/>
          </w:rPr>
          <w:tab/>
        </w:r>
        <w:r w:rsidRPr="001B1BFF">
          <w:rPr>
            <w:rFonts w:ascii="Times New Roman" w:hAnsi="Times New Roman" w:cs="Times New Roman"/>
            <w:sz w:val="24"/>
            <w:szCs w:val="24"/>
          </w:rPr>
          <w:tab/>
        </w:r>
        <w:r w:rsidRPr="001B1BFF">
          <w:rPr>
            <w:rFonts w:ascii="Times New Roman" w:hAnsi="Times New Roman" w:cs="Times New Roman"/>
            <w:sz w:val="24"/>
            <w:szCs w:val="24"/>
          </w:rPr>
          <w:tab/>
          <w:t xml:space="preserve">          </w:t>
        </w:r>
        <w:r w:rsidR="00E9575A" w:rsidRPr="001B1BFF">
          <w:rPr>
            <w:rFonts w:ascii="Times New Roman" w:hAnsi="Times New Roman" w:cs="Times New Roman"/>
            <w:sz w:val="24"/>
            <w:szCs w:val="24"/>
          </w:rPr>
          <w:fldChar w:fldCharType="begin"/>
        </w:r>
        <w:r w:rsidR="00E9575A" w:rsidRPr="001B1BFF">
          <w:rPr>
            <w:rFonts w:ascii="Times New Roman" w:hAnsi="Times New Roman" w:cs="Times New Roman"/>
            <w:sz w:val="24"/>
            <w:szCs w:val="24"/>
          </w:rPr>
          <w:instrText xml:space="preserve"> PAGE   \* MERGEFORMAT </w:instrText>
        </w:r>
        <w:r w:rsidR="00E9575A" w:rsidRPr="001B1BFF">
          <w:rPr>
            <w:rFonts w:ascii="Times New Roman" w:hAnsi="Times New Roman" w:cs="Times New Roman"/>
            <w:sz w:val="24"/>
            <w:szCs w:val="24"/>
          </w:rPr>
          <w:fldChar w:fldCharType="separate"/>
        </w:r>
        <w:r w:rsidR="000B71B7">
          <w:rPr>
            <w:rFonts w:ascii="Times New Roman" w:hAnsi="Times New Roman" w:cs="Times New Roman"/>
            <w:noProof/>
            <w:sz w:val="24"/>
            <w:szCs w:val="24"/>
          </w:rPr>
          <w:t>7</w:t>
        </w:r>
        <w:r w:rsidR="00E9575A" w:rsidRPr="001B1BFF">
          <w:rPr>
            <w:rFonts w:ascii="Times New Roman" w:hAnsi="Times New Roman" w:cs="Times New Roman"/>
            <w:noProof/>
            <w:sz w:val="24"/>
            <w:szCs w:val="24"/>
          </w:rPr>
          <w:fldChar w:fldCharType="end"/>
        </w:r>
      </w:p>
    </w:sdtContent>
  </w:sdt>
  <w:p w:rsidR="00E9575A" w:rsidRDefault="00E957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FF0" w:rsidRPr="00773FF0" w:rsidRDefault="00773FF0">
    <w:pPr>
      <w:pStyle w:val="Header"/>
      <w:rPr>
        <w:rFonts w:ascii="Times New Roman" w:hAnsi="Times New Roman" w:cs="Times New Roman"/>
        <w:sz w:val="24"/>
        <w:szCs w:val="24"/>
      </w:rPr>
    </w:pPr>
    <w:r w:rsidRPr="00773FF0">
      <w:rPr>
        <w:rFonts w:ascii="Times New Roman" w:hAnsi="Times New Roman" w:cs="Times New Roman"/>
        <w:sz w:val="24"/>
        <w:szCs w:val="24"/>
      </w:rPr>
      <w:t xml:space="preserve">Running head: PATHOPHYSIOLOGY OF </w:t>
    </w:r>
    <w:r w:rsidR="001B1BFF">
      <w:rPr>
        <w:rFonts w:ascii="Times New Roman" w:hAnsi="Times New Roman" w:cs="Times New Roman"/>
        <w:sz w:val="24"/>
        <w:szCs w:val="24"/>
      </w:rPr>
      <w:t>COMORBID DISEASES</w:t>
    </w:r>
    <w:sdt>
      <w:sdtPr>
        <w:rPr>
          <w:rFonts w:ascii="Times New Roman" w:hAnsi="Times New Roman" w:cs="Times New Roman"/>
          <w:sz w:val="24"/>
          <w:szCs w:val="24"/>
        </w:rPr>
        <w:id w:val="988448074"/>
        <w:docPartObj>
          <w:docPartGallery w:val="Page Numbers (Top of Page)"/>
          <w:docPartUnique/>
        </w:docPartObj>
      </w:sdtPr>
      <w:sdtEndPr>
        <w:rPr>
          <w:noProof/>
        </w:rPr>
      </w:sdtEndPr>
      <w:sdtContent>
        <w:r>
          <w:rPr>
            <w:rFonts w:ascii="Times New Roman" w:hAnsi="Times New Roman" w:cs="Times New Roman"/>
            <w:sz w:val="24"/>
            <w:szCs w:val="24"/>
          </w:rPr>
          <w:tab/>
        </w:r>
        <w:r w:rsidRPr="00773FF0">
          <w:rPr>
            <w:rFonts w:ascii="Times New Roman" w:hAnsi="Times New Roman" w:cs="Times New Roman"/>
            <w:sz w:val="24"/>
            <w:szCs w:val="24"/>
          </w:rPr>
          <w:fldChar w:fldCharType="begin"/>
        </w:r>
        <w:r w:rsidRPr="00773FF0">
          <w:rPr>
            <w:rFonts w:ascii="Times New Roman" w:hAnsi="Times New Roman" w:cs="Times New Roman"/>
            <w:sz w:val="24"/>
            <w:szCs w:val="24"/>
          </w:rPr>
          <w:instrText xml:space="preserve"> PAGE   \* MERGEFORMAT </w:instrText>
        </w:r>
        <w:r w:rsidRPr="00773FF0">
          <w:rPr>
            <w:rFonts w:ascii="Times New Roman" w:hAnsi="Times New Roman" w:cs="Times New Roman"/>
            <w:sz w:val="24"/>
            <w:szCs w:val="24"/>
          </w:rPr>
          <w:fldChar w:fldCharType="separate"/>
        </w:r>
        <w:r w:rsidR="001B1BFF">
          <w:rPr>
            <w:rFonts w:ascii="Times New Roman" w:hAnsi="Times New Roman" w:cs="Times New Roman"/>
            <w:noProof/>
            <w:sz w:val="24"/>
            <w:szCs w:val="24"/>
          </w:rPr>
          <w:t>1</w:t>
        </w:r>
        <w:r w:rsidRPr="00773FF0">
          <w:rPr>
            <w:rFonts w:ascii="Times New Roman" w:hAnsi="Times New Roman" w:cs="Times New Roman"/>
            <w:noProof/>
            <w:sz w:val="24"/>
            <w:szCs w:val="24"/>
          </w:rPr>
          <w:fldChar w:fldCharType="end"/>
        </w:r>
      </w:sdtContent>
    </w:sdt>
  </w:p>
  <w:p w:rsidR="00E9575A" w:rsidRPr="00773FF0" w:rsidRDefault="00E9575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75A"/>
    <w:rsid w:val="0004495F"/>
    <w:rsid w:val="00085BA1"/>
    <w:rsid w:val="00095092"/>
    <w:rsid w:val="000B47A5"/>
    <w:rsid w:val="000B71B7"/>
    <w:rsid w:val="001216B9"/>
    <w:rsid w:val="001327CD"/>
    <w:rsid w:val="00142ACC"/>
    <w:rsid w:val="00197E26"/>
    <w:rsid w:val="001B1BFF"/>
    <w:rsid w:val="001C30A5"/>
    <w:rsid w:val="001C455D"/>
    <w:rsid w:val="00335987"/>
    <w:rsid w:val="00367E29"/>
    <w:rsid w:val="0040428F"/>
    <w:rsid w:val="004176BF"/>
    <w:rsid w:val="005A43BC"/>
    <w:rsid w:val="005A44B3"/>
    <w:rsid w:val="005C7FDD"/>
    <w:rsid w:val="006670CD"/>
    <w:rsid w:val="006E5879"/>
    <w:rsid w:val="007143D8"/>
    <w:rsid w:val="00766F0F"/>
    <w:rsid w:val="00773FF0"/>
    <w:rsid w:val="00792B88"/>
    <w:rsid w:val="008A21F2"/>
    <w:rsid w:val="008B50B1"/>
    <w:rsid w:val="008D3B85"/>
    <w:rsid w:val="00947B7C"/>
    <w:rsid w:val="00A009F1"/>
    <w:rsid w:val="00A33831"/>
    <w:rsid w:val="00B13CFC"/>
    <w:rsid w:val="00B17A4B"/>
    <w:rsid w:val="00B23BA7"/>
    <w:rsid w:val="00B5748D"/>
    <w:rsid w:val="00B73EDD"/>
    <w:rsid w:val="00B77F4D"/>
    <w:rsid w:val="00B844FC"/>
    <w:rsid w:val="00BB69D5"/>
    <w:rsid w:val="00BD48A0"/>
    <w:rsid w:val="00C26A13"/>
    <w:rsid w:val="00E72928"/>
    <w:rsid w:val="00E740A2"/>
    <w:rsid w:val="00E9575A"/>
    <w:rsid w:val="00EE1A5B"/>
    <w:rsid w:val="00F31D64"/>
    <w:rsid w:val="00FA4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78E57-C54A-4ED9-B5A8-02888AA1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75A"/>
  </w:style>
  <w:style w:type="paragraph" w:styleId="Footer">
    <w:name w:val="footer"/>
    <w:basedOn w:val="Normal"/>
    <w:link w:val="FooterChar"/>
    <w:uiPriority w:val="99"/>
    <w:unhideWhenUsed/>
    <w:rsid w:val="00E95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7</Pages>
  <Words>1415</Words>
  <Characters>8067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20</cp:revision>
  <dcterms:created xsi:type="dcterms:W3CDTF">2019-10-13T19:35:00Z</dcterms:created>
  <dcterms:modified xsi:type="dcterms:W3CDTF">2019-10-14T00:38:00Z</dcterms:modified>
</cp:coreProperties>
</file>